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«Риски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сбора информации, контроля качества работы сотрудников по описанию и актуализации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рисками. Аудит и внутренний контроль</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w:t>
            </w:r>
          </w:p>
          <w:p>
            <w:pPr>
              <w:jc w:val="left"/>
              <w:spacing w:after="0" w:line="240" w:lineRule="auto"/>
              <w:rPr>
                <w:sz w:val="24"/>
                <w:szCs w:val="24"/>
              </w:rPr>
            </w:pPr>
            <w:r>
              <w:rPr>
                <w:rFonts w:ascii="Times New Roman" w:hAnsi="Times New Roman" w:cs="Times New Roman"/>
                <w:b/>
                <w:color w:val="#000000"/>
                <w:sz w:val="24"/>
                <w:szCs w:val="24"/>
              </w:rPr>
              <w:t>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111.0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риска. Принципы изучения рисков. Функции и свойства рисков.</w:t>
            </w:r>
          </w:p>
          <w:p>
            <w:pPr>
              <w:jc w:val="both"/>
              <w:spacing w:after="0" w:line="240" w:lineRule="auto"/>
              <w:rPr>
                <w:sz w:val="24"/>
                <w:szCs w:val="24"/>
              </w:rPr>
            </w:pPr>
            <w:r>
              <w:rPr>
                <w:rFonts w:ascii="Times New Roman" w:hAnsi="Times New Roman" w:cs="Times New Roman"/>
                <w:color w:val="#000000"/>
                <w:sz w:val="24"/>
                <w:szCs w:val="24"/>
              </w:rPr>
              <w:t> Риски в управлении персоналом, как элемент общей концепции управления рисками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Классификация рисков на основе зарубежного опыта.</w:t>
            </w:r>
          </w:p>
          <w:p>
            <w:pPr>
              <w:jc w:val="both"/>
              <w:spacing w:after="0" w:line="240" w:lineRule="auto"/>
              <w:rPr>
                <w:sz w:val="24"/>
                <w:szCs w:val="24"/>
              </w:rPr>
            </w:pPr>
            <w:r>
              <w:rPr>
                <w:rFonts w:ascii="Times New Roman" w:hAnsi="Times New Roman" w:cs="Times New Roman"/>
                <w:color w:val="#000000"/>
                <w:sz w:val="24"/>
                <w:szCs w:val="24"/>
              </w:rPr>
              <w:t> Виды рисков в российской экономике на современном этапе развития. Прниманние особенностей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144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риска, социологическая теория риска. Модели рисков человеческого фактора. Дуализм риска. Риск и неопределенность. Природа риска. Факторы страха и контроля.</w:t>
            </w:r>
          </w:p>
          <w:p>
            <w:pPr>
              <w:jc w:val="both"/>
              <w:spacing w:after="0" w:line="240" w:lineRule="auto"/>
              <w:rPr>
                <w:sz w:val="24"/>
                <w:szCs w:val="24"/>
              </w:rPr>
            </w:pPr>
            <w:r>
              <w:rPr>
                <w:rFonts w:ascii="Times New Roman" w:hAnsi="Times New Roman" w:cs="Times New Roman"/>
                <w:color w:val="#000000"/>
                <w:sz w:val="24"/>
                <w:szCs w:val="24"/>
              </w:rPr>
              <w:t> 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факторов, влияющих на положение фирмы в конкурентной рыночной среде.</w:t>
            </w:r>
          </w:p>
          <w:p>
            <w:pPr>
              <w:jc w:val="both"/>
              <w:spacing w:after="0" w:line="240" w:lineRule="auto"/>
              <w:rPr>
                <w:sz w:val="24"/>
                <w:szCs w:val="24"/>
              </w:rPr>
            </w:pPr>
            <w:r>
              <w:rPr>
                <w:rFonts w:ascii="Times New Roman" w:hAnsi="Times New Roman" w:cs="Times New Roman"/>
                <w:color w:val="#000000"/>
                <w:sz w:val="24"/>
                <w:szCs w:val="24"/>
              </w:rPr>
              <w:t> 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pPr>
              <w:jc w:val="both"/>
              <w:spacing w:after="0" w:line="240" w:lineRule="auto"/>
              <w:rPr>
                <w:sz w:val="24"/>
                <w:szCs w:val="24"/>
              </w:rPr>
            </w:pPr>
            <w:r>
              <w:rPr>
                <w:rFonts w:ascii="Times New Roman" w:hAnsi="Times New Roman" w:cs="Times New Roman"/>
                <w:color w:val="#000000"/>
                <w:sz w:val="24"/>
                <w:szCs w:val="24"/>
              </w:rPr>
              <w:t> 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факторов среды. Оценка вероятности проявления угроз. Количественные оценки вероятностей и рисков.</w:t>
            </w:r>
          </w:p>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p>
            <w:pPr>
              <w:jc w:val="both"/>
              <w:spacing w:after="0" w:line="240" w:lineRule="auto"/>
              <w:rPr>
                <w:sz w:val="24"/>
                <w:szCs w:val="24"/>
              </w:rPr>
            </w:pPr>
            <w:r>
              <w:rPr>
                <w:rFonts w:ascii="Times New Roman" w:hAnsi="Times New Roman" w:cs="Times New Roman"/>
                <w:color w:val="#000000"/>
                <w:sz w:val="24"/>
                <w:szCs w:val="24"/>
              </w:rPr>
              <w:t> 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при подборе персонала. Риски адаптации новых сотрудников. Риски оценки и аттестации персонала.</w:t>
            </w:r>
          </w:p>
          <w:p>
            <w:pPr>
              <w:jc w:val="both"/>
              <w:spacing w:after="0" w:line="240" w:lineRule="auto"/>
              <w:rPr>
                <w:sz w:val="24"/>
                <w:szCs w:val="24"/>
              </w:rPr>
            </w:pPr>
            <w:r>
              <w:rPr>
                <w:rFonts w:ascii="Times New Roman" w:hAnsi="Times New Roman" w:cs="Times New Roman"/>
                <w:color w:val="#000000"/>
                <w:sz w:val="24"/>
                <w:szCs w:val="24"/>
              </w:rPr>
              <w:t> Риски развития и обучения персонала. Риски при увольнении сотрудников и их управление.</w:t>
            </w:r>
          </w:p>
          <w:p>
            <w:pPr>
              <w:jc w:val="both"/>
              <w:spacing w:after="0" w:line="240" w:lineRule="auto"/>
              <w:rPr>
                <w:sz w:val="24"/>
                <w:szCs w:val="24"/>
              </w:rPr>
            </w:pPr>
            <w:r>
              <w:rPr>
                <w:rFonts w:ascii="Times New Roman" w:hAnsi="Times New Roman" w:cs="Times New Roman"/>
                <w:color w:val="#000000"/>
                <w:sz w:val="24"/>
                <w:szCs w:val="24"/>
              </w:rPr>
              <w:t> 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работника. Физиологические особенности человека. Психологические особенности индивида.</w:t>
            </w:r>
          </w:p>
          <w:p>
            <w:pPr>
              <w:jc w:val="both"/>
              <w:spacing w:after="0" w:line="240" w:lineRule="auto"/>
              <w:rPr>
                <w:sz w:val="24"/>
                <w:szCs w:val="24"/>
              </w:rPr>
            </w:pPr>
            <w:r>
              <w:rPr>
                <w:rFonts w:ascii="Times New Roman" w:hAnsi="Times New Roman" w:cs="Times New Roman"/>
                <w:color w:val="#000000"/>
                <w:sz w:val="24"/>
                <w:szCs w:val="24"/>
              </w:rPr>
              <w:t> 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pPr>
              <w:jc w:val="both"/>
              <w:spacing w:after="0" w:line="240" w:lineRule="auto"/>
              <w:rPr>
                <w:sz w:val="24"/>
                <w:szCs w:val="24"/>
              </w:rPr>
            </w:pPr>
            <w:r>
              <w:rPr>
                <w:rFonts w:ascii="Times New Roman" w:hAnsi="Times New Roman" w:cs="Times New Roman"/>
                <w:color w:val="#000000"/>
                <w:sz w:val="24"/>
                <w:szCs w:val="24"/>
              </w:rPr>
              <w:t> 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 понятие, теоретические концепции и подходы к изучению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риска. Риски в современном бизнесе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рисков персонала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и процедура выявления кадровых рисков. Методика оценки кадровых рисков</w:t>
            </w:r>
          </w:p>
        </w:tc>
      </w:tr>
      <w:tr>
        <w:trPr>
          <w:trHeight w:hRule="exact" w:val="21.31608"/>
        </w:trPr>
        <w:tc>
          <w:tcPr>
            <w:tcW w:w="9640" w:type="dxa"/>
          </w:tcPr>
          <w:p/>
        </w:tc>
      </w:tr>
      <w:tr>
        <w:trPr>
          <w:trHeight w:hRule="exact" w:val="55.71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2.117"/>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Лояльность персонала и ее значение в управлении кадровыми рисками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управлении персоналом</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рабочей силы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«Риски в управлении персоналом»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Латушкина,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http://www.iprbookshop.ru/90964.html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Магеря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Владимиров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Бадалов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надежностью</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http://www.iprbookshop.ru/43978.html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кадровыми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таможенных</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978-5-7964-2222-9.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http://www.iprbookshop.ru/111371.html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2024-2025_ФГОС3++2024_Бак-ОФО-Мен_(ЭиУП)(24)_plx_Риски в управлении персоналом</dc:title>
  <dc:creator>FastReport.NET</dc:creator>
</cp:coreProperties>
</file>